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tblpPr w:leftFromText="180" w:rightFromText="180" w:vertAnchor="page" w:horzAnchor="margin" w:tblpX="90" w:tblpY="2107"/>
        <w:tblW w:w="9250" w:type="dxa"/>
        <w:tblBorders>
          <w:top w:val="single" w:color="48AE49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80"/>
        <w:gridCol w:w="4670"/>
      </w:tblGrid>
      <w:tr>
        <w:trPr/>
        <w:tc>
          <w:tcPr>
            <w:tcW w:type="dxa" w:w="4580"/>
            <w:tcBorders>
              <w:top w:val="single" w:color="48AE49" w:sz="18" w:space="0"/>
            </w:tcBorders>
            <w:shd w:fill="auto" w:color="auto" w:val="clear"/>
          </w:tcPr>
          <w:p>
            <w:pPr>
              <w:pStyle w:val="NoSpacing"/>
              <w:spacing/>
              <w:ind w:firstLine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type="dxa" w:w="4670"/>
            <w:tcBorders>
              <w:top w:val="single" w:color="48AE49" w:sz="18" w:space="0"/>
            </w:tcBorders>
            <w:shd w:fill="auto" w:color="auto" w:val="clear"/>
          </w:tcPr>
          <w:p>
            <w:pPr>
              <w:pStyle w:val="NoSpacing"/>
              <w:spacing/>
              <w:ind w:firstLine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Protein Name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Expression Host</w:t>
            </w:r>
          </w:p>
        </w:tc>
      </w:tr>
      <w:tr>
        <w:trPr>
          <w:trHeight w:val="278" w:hRule="atLeast"/>
        </w:trPr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Nectin-3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HEK293T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Alternate Name(s)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Purity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poliovirus receptor-related 3, PVRL3, cluster of differentiation 113, CD113, nectin3, CDW113, PPR3, PRR3, PVRR3, nectin cell adhesion molecule 3 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Greater than 90% dimer form as determined by SDS-PAGE under non-reducing condition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Protein Construct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Amino Acid Range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Nectin-3 dimer protein contains a Nectin-3 extracellular domain (UniProt# Q9NQS3) fused with a proprietary cis-dimer motif followed by a tandem His-Avi tag at the C-terminus.</w:t>
            </w:r>
            <w:r>
              <w:rPr>
                <w:rFonts w:ascii="Arial" w:hAnsi="Arial" w:cs="Arial"/>
                <w:sz w:val="21"/>
                <w:szCs w:val="21"/>
              </w:rPr>
              <w:t xml:space="preserve">  Expressed</w:t>
            </w:r>
            <w:r>
              <w:rPr>
                <w:rFonts w:ascii="Arial" w:hAnsi="Arial" w:cs="Arial"/>
                <w:sz w:val="21"/>
                <w:szCs w:val="21"/>
              </w:rPr>
              <w:t xml:space="preserve"> in HEK293T cell line.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1: G58-T404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SDS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-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Page Molecular Weight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Formulation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96 </w:t>
            </w:r>
            <w:r>
              <w:rPr>
                <w:rFonts w:ascii="Arial" w:hAnsi="Arial" w:cs="Arial"/>
                <w:sz w:val="21"/>
                <w:szCs w:val="21"/>
              </w:rPr>
              <w:t xml:space="preserve">kDa</w:t>
            </w:r>
            <w:r>
              <w:rPr>
                <w:rFonts w:ascii="Arial" w:hAnsi="Arial" w:cs="Arial"/>
                <w:sz w:val="21"/>
                <w:szCs w:val="21"/>
              </w:rPr>
              <w:t xml:space="preserve">.  The migration range of the heterodimer protein with glycosylation under non-reducing condition is ~190 kDa on SDS PAGE.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0.22μm filtered PBS, pH 7.4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Shipping Conditions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Stability &amp; Storage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Frozen Dry Ice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-80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0</w:t>
            </w:r>
            <w:r>
              <w:rPr>
                <w:rFonts w:ascii="Arial" w:hAnsi="Arial" w:cs="Arial"/>
                <w:sz w:val="21"/>
                <w:szCs w:val="21"/>
              </w:rPr>
              <w:t xml:space="preserve">C</w:t>
            </w: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left="76" w:hanging="16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firstLine="6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 xml:space="preserve">SDS-PAGE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firstLine="6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spacing w:after="160" w:line="278" w:lineRule="auto"/>
              <w:ind w:left="0"/>
              <w:rPr>
                <w:rFonts w:asciiTheme="minorHAnsi" w:hAnsiTheme="minorHAnsi" w:eastAsiaTheme="minorHAnsi" w:cstheme="minorBidi"/>
                <w:b w:val="0"/>
                <w:bCs w:val="0"/>
              </w:rPr>
            </w:pPr>
            <w:r>
              <w:rPr/>
              <w:drawing>
                <wp:inline>
                  <wp:extent cx="508000" cy="1803400"/>
                  <wp:docPr id="2056279477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MW: Molecular Weight marker reduced condition</w:t>
            </w:r>
          </w:p>
          <w:p>
            <w:pPr>
              <w:pBdr/>
              <w:spacing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NR: Nectin-3 dimer under non-reduced condition </w:t>
            </w:r>
          </w:p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firstLine="60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rPr/>
        <w:tc>
          <w:tcPr>
            <w:tcW w:type="dxa" w:w="4580"/>
            <w:tcBorders/>
            <w:shd w:fill="auto" w:color="auto" w:val="clear"/>
          </w:tcPr>
          <w:p>
            <w:pPr>
              <w:pStyle w:val="NoSpacing"/>
              <w:spacing/>
              <w:ind w:left="7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migration range of the heterodimer protein with glycosylation under non-reducing condition is ~190 kDa on SDS PAGE.</w:t>
            </w:r>
          </w:p>
        </w:tc>
        <w:tc>
          <w:tcPr>
            <w:tcW w:type="dxa" w:w="4670"/>
            <w:tcBorders/>
            <w:shd w:fill="auto" w:color="auto" w:val="clear"/>
          </w:tcPr>
          <w:p>
            <w:pPr>
              <w:pStyle w:val="NoSpacing"/>
              <w:spacing/>
              <w:ind w:firstLine="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137824">
      <w:pPr>
        <w:spacing/>
        <w:rPr>
          <w:rFonts w:ascii="Arial" w:hAnsi="Arial" w:cs="Arial"/>
        </w:rPr>
      </w:pPr>
    </w:p>
    <w:p w14:paraId="49068953">
      <w:pPr>
        <w: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Y="2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>
        <w:trPr/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Bioactivity – Antibody Binding</w:t>
            </w:r>
          </w:p>
        </w:tc>
        <w:tc>
          <w:tcPr>
            <w:tcW w:type="dxa" w:w="4670"/>
            <w:tcBorders/>
          </w:tcPr>
          <w:p>
            <w:pPr>
              <w:pStyle w:val="NoSpacing"/>
              <w: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Bioactivity – Ligand Binding</w:t>
            </w:r>
          </w:p>
        </w:tc>
      </w:tr>
      <w:tr>
        <w:trPr/>
        <w:tc>
          <w:tcPr>
            <w:tcW w:type="dxa" w:w="4670"/>
            <w:tcBorders/>
          </w:tcPr>
          <w:p>
            <w:pPr>
              <w:spacing w:after="160" w:line="278" w:lineRule="auto"/>
              <w:rPr>
                <w:rFonts w:asciiTheme="minorHAnsi" w:hAnsiTheme="minorHAnsi" w:eastAsiaTheme="minorHAnsi" w:cstheme="minorBidi"/>
                <w:b w:val="0"/>
                <w:bCs w:val="0"/>
              </w:rPr>
            </w:pPr>
            <w:r>
              <w:rPr/>
              <w:drawing>
                <wp:inline>
                  <wp:extent cx="2540000" cy="2185246"/>
                  <wp:docPr id="2056279478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18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~i:143:200~</w:t>
            </w:r>
          </w:p>
        </w:tc>
      </w:tr>
      <w:tr>
        <w:trPr/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Immobilized human Nectin-3 protein dimer, His-Avi tag (Cat. No. CSP-25196-03) at 2 μg/mL (100 μL/well) can bind anti-human Nectin-3 monoclonal antibody with half maximal effective concentration (EC50) range of 82-327.8 ng/mL (QC tested).</w:t>
            </w:r>
          </w:p>
        </w:tc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/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</w:p>
        </w:tc>
      </w:tr>
      <w:tr>
        <w:trPr/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Bioactivity – </w:t>
            </w:r>
            <w:r>
              <w:rPr>
                <w:rFonts w:ascii="Arial" w:hAnsi="Arial" w:cs="Arial"/>
                <w:b/>
                <w:bCs/>
              </w:rPr>
              <w:t xml:space="preserve">SPR</w:t>
            </w:r>
          </w:p>
        </w:tc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</w:p>
        </w:tc>
      </w:tr>
      <w:tr>
        <w:trPr/>
        <w:tc>
          <w:tcPr>
            <w:tcW w:type="dxa" w:w="4670"/>
            <w:tcBorders/>
          </w:tcPr>
          <w:p>
            <w:pPr>
              <w:spacing w:after="160" w:line="278" w:lineRule="auto"/>
              <w:rPr>
                <w:rFonts w:asciiTheme="minorHAnsi" w:hAnsiTheme="minorHAnsi" w:eastAsiaTheme="minorHAnsi" w:cstheme="minorBidi"/>
                <w:b w:val="0"/>
                <w:bCs w:val="0"/>
              </w:rPr>
            </w:pPr>
            <w:r>
              <w:rPr/>
              <w:drawing>
                <wp:inline>
                  <wp:extent cx="2540000" cy="2116666"/>
                  <wp:docPr id="2056279479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11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</w:p>
        </w:tc>
      </w:tr>
      <w:tr>
        <w:trPr/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Immobilized human Nectin-1 protein dimer, His-Avi tag (Cat. No. CSP-25195-03) can bind human Nectin-3 protein dimer, His-Avi tag (Cat. No. CSP-25196-03) with a KD of 3-11.8 nM as determined by LSPR (Nicoya Alto).</w:t>
            </w:r>
          </w:p>
        </w:tc>
        <w:tc>
          <w:tcPr>
            <w:tcW w:type="dxa" w:w="4670"/>
            <w:tcBorders/>
          </w:tcPr>
          <w:p>
            <w:pPr>
              <w:spacing/>
              <w:rPr>
                <w:rFonts w:ascii="Arial" w:hAnsi="Arial" w:cs="Arial"/>
                <w:b/>
                <w:bCs/>
              </w:rPr>
            </w:pPr>
          </w:p>
        </w:tc>
      </w:tr>
    </w:tbl>
    <w:p w14:paraId="2A55DCD5">
      <w:pPr>
        <w:spacing/>
        <w:rPr>
          <w:rFonts w:ascii="Arial" w:hAnsi="Arial" w:cs="Arial"/>
        </w:rPr>
      </w:pPr>
    </w:p>
    <w:p w14:paraId="499FC7EF">
      <w:pPr>
        <w: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>
        <w:trPr/>
        <w:tc>
          <w:tcPr>
            <w:tcW w:type="dxa" w:w="9350"/>
            <w:tcBorders/>
          </w:tcPr>
          <w:p>
            <w:pPr>
              <w:pStyle w:val="NoSpacing"/>
              <w: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Background</w:t>
            </w:r>
          </w:p>
          <w:p>
            <w:pPr>
              <w:pStyle w:val="NoSpacing"/>
              <w: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Human Nectin-3 is a type 1 integral membrane glycoprotein that can form a homo-cis dimer on the cell membrane. Nectin-3 is also known as poliovirus receptor-related 3 (PVRL3) and cluster of differentiation 113 (CD113). Nectin-3 contains an extracellular domain with three immunoglobulin-like (Ig-like) domains. Nectin-3 interacts with Nectin-1. Nectin-1 and Nectin-3 are expressed in neuronal tissue and unlike many other cellular adhesion molecules, they do not distribute evenly. Nectin-3 is primarily found on the dendritic side and Nectin-1 is primarily found on the axonal side. The interaction of Nectin-1 with Nectin-3 has been found to be essential for proper morphogenesis of the eye. Additionally, Nectin-3 is highly expressed in epithelial cancer cells of 80% of patients with human lung adenocarcinoma. Therefore, a recombinant protein mimicking the Nectin-3 dimer conformation can be crucial for cancer therapeutic discovery.</w:t>
            </w:r>
          </w:p>
          <w:p>
            <w:pPr>
              <w:spacing/>
              <w:rPr>
                <w:rFonts w:ascii="Arial" w:hAnsi="Arial" w:cs="Arial"/>
              </w:rPr>
            </w:pPr>
          </w:p>
        </w:tc>
      </w:tr>
    </w:tbl>
    <w:p w14:paraId="07DBD146">
      <w:pPr>
        <w:spacing/>
        <w:rPr>
          <w:rFonts w:ascii="Arial" w:hAnsi="Arial" w:cs="Arial"/>
        </w:rPr>
      </w:pPr>
    </w:p>
    <w:p w14:paraId="07A2D972">
      <w:pPr>
        <w:pStyle w:val="NoSpacing"/>
        <w:spacing/>
        <w:rPr>
          <w:rFonts w:ascii="Arial" w:hAnsi="Arial" w:cs="Arial"/>
          <w:b/>
          <w:bCs/>
          <w:sz w:val="21"/>
          <w:szCs w:val="21"/>
        </w:rPr>
      </w:pPr>
    </w:p>
    <w:p w14:paraId="0D7CB0ED">
      <w:pPr>
        <w:pStyle w:val="NoSpacing"/>
        <w:spacing/>
        <w:rPr>
          <w:rFonts w:ascii="Arial" w:hAnsi="Arial" w:cs="Arial"/>
          <w:b/>
          <w:bCs/>
          <w:sz w:val="21"/>
          <w:szCs w:val="21"/>
        </w:rPr>
      </w:pPr>
    </w:p>
    <w:p w14:paraId="039C24A8">
      <w:pPr>
        <w:pStyle w:val="NoSpacing"/>
        <w:spacing/>
        <w:rPr>
          <w:rFonts w:ascii="Arial" w:hAnsi="Arial" w:cs="Arial"/>
          <w:b/>
          <w:bCs/>
          <w:sz w:val="21"/>
          <w:szCs w:val="21"/>
        </w:rPr>
      </w:pPr>
    </w:p>
    <w:p w14:paraId="1836E91F">
      <w:pPr>
        <w:pStyle w:val="NoSpacing"/>
        <w:spacing/>
        <w:rPr>
          <w:rFonts w:ascii="Arial" w:hAnsi="Arial" w:cs="Arial"/>
        </w:rPr>
        <w:sectPr>
          <w:headerReference w:type="default" r:id="rId4"/>
          <w:footerReference w:type="default" r:id="rId5"/>
          <w:type w:val="nextPage"/>
          <w:pgSz w:w="12240" w:h="15840"/>
          <w:pgMar w:top="1980" w:right="1440" w:bottom="1440" w:left="1440" w:header="540" w:footer="720" w:gutter="0"/>
          <w:pgBorders/>
          <w:pgNumType w:fmt="decimal" w:start="1"/>
          <w:cols w:num="1" w:equalWidth="1" w:space="720"/>
          <w:docGrid w:linePitch="360"/>
        </w:sectPr>
      </w:pPr>
    </w:p>
    <w:p w14:paraId="0D9A048F">
      <w:pPr>
        <w:pStyle w:val="NoSpacing"/>
        <w:spacing/>
        <w:rPr>
          <w:rFonts w:ascii="Arial" w:hAnsi="Arial" w:cs="Arial"/>
        </w:rPr>
      </w:pPr>
    </w:p>
    <w:p w14:paraId="4497CF96">
      <w:pPr>
        <w:pStyle w:val="NoSpacing"/>
        <w:spacing/>
        <w:rPr>
          <w:rFonts w:ascii="Arial" w:hAnsi="Arial" w:cs="Arial"/>
        </w:rPr>
      </w:pPr>
    </w:p>
    <w:p w14:paraId="77DD2A57">
      <w:pPr>
        <w:pStyle w:val="NoSpacing"/>
        <w:spacing/>
        <w:rPr>
          <w:rFonts w:ascii="Arial" w:hAnsi="Arial" w:cs="Arial"/>
        </w:rPr>
      </w:pPr>
    </w:p>
    <w:sectPr>
      <w:headerReference w:type="default" r:id="rId6"/>
      <w:footerReference w:type="default" r:id="rId7"/>
      <w:type w:val="continuous"/>
      <w:pgSz w:w="12240" w:h="15840"/>
      <w:pgMar w:top="1980" w:right="1440" w:bottom="1440" w:left="1440" w:header="54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9ADBB36">
    <w:pPr>
      <w:pStyle w:val="Footer"/>
      <w:spacing/>
      <w:rPr/>
    </w:pPr>
    <w:r>
      <w:rPr>
        <w:noProof/>
      </w:rPr>
      <ve:AlternateContent>
        <ve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405130</wp:posOffset>
              </wp:positionV>
              <wp:extent cx="1076325" cy="275590"/>
              <wp:wrapNone/>
              <wp:docPr id="2056279480" name="Text Box 2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275590"/>
                      </a:xfrm>
                      <a:prstGeom prst="rect">
                        <a:avLst/>
                      </a:prstGeom>
                      <a:noFill/>
                      <a:ln cap="flat" cmpd="sng" w="9525">
                        <a:prstDash val="solid"/>
                        <a:miter lim="800000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Revision: 2024</w:t>
                          </w:r>
                        </w:p>
                      </w:txbxContent>
                    </wps:txbx>
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ve:Choice>
        <ve:Fallback>
          <w:pict>
            <v:shape id="Text Box 2" type="#_x0000_t202" style="position:absolute;margin-left:456.75pt;margin-top:31.9pt;width:84.75pt;height:21.7pt;z-index:251660288;;v-text-anchor:top;mso-wrap-distance-left:9pt;mso-wrap-distance-top:3.6pt;mso-wrap-distance-right:9pt;mso-wrap-distance-bottom:3.6pt;mso-wrap-style:square;position:absolute" filled="f" strokecolor="#000000" strokeweight="0.75pt" stroked="f">
              <v:textbox style="" inset="7.2pt,3.6pt,7.2pt,3.6pt">
                <w:txbxContent>
                  <w:p>
                    <w:pPr>
                      <w:pBdr/>
                      <w: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Revision: 2024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-1303274</wp:posOffset>
          </wp:positionH>
          <wp:positionV relativeFrom="paragraph">
            <wp:posOffset>158877</wp:posOffset>
          </wp:positionV>
          <wp:extent cx="8154660" cy="479173"/>
          <wp:effectExtent xmlns:wp="http://schemas.openxmlformats.org/drawingml/2006/wordprocessingDrawing" l="0" t="0" r="0" b="0"/>
          <wp:wrapNone/>
          <wp:docPr id="2056279481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660" cy="479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43E0BC2">
    <w:pPr>
      <w:pStyle w:val="Footer"/>
      <w:spacing/>
      <w:rPr/>
    </w:pPr>
    <w:r>
      <w:rPr>
        <w:noProof/>
      </w:rPr>
      <ve:AlternateContent>
        <ve:Choice Requires="wps">
          <w:drawing>
            <wp:anchor distT="45720" distB="45720" distL="114300" distR="114300" simplePos="0" relativeHeight="251680768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405130</wp:posOffset>
              </wp:positionV>
              <wp:extent cx="1076325" cy="275590"/>
              <wp:wrapNone/>
              <wp:docPr id="2056279482" name="Text Box 2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275590"/>
                      </a:xfrm>
                      <a:prstGeom prst="rect">
                        <a:avLst/>
                      </a:prstGeom>
                      <a:noFill/>
                      <a:ln cap="flat" cmpd="sng" w="9525">
                        <a:prstDash val="solid"/>
                        <a:miter lim="800000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Revision: 2024</w:t>
                          </w:r>
                        </w:p>
                      </w:txbxContent>
                    </wps:txbx>
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ve:Choice>
        <ve:Fallback>
          <w:pict>
            <v:shape id="_x0000_s1027" type="#_x0000_t202" style="position:absolute;margin-left:456.75pt;margin-top:31.9pt;width:84.75pt;height:21.7pt;z-index:251680768;;v-text-anchor:top;mso-wrap-distance-left:9pt;mso-wrap-distance-top:3.6pt;mso-wrap-distance-right:9pt;mso-wrap-distance-bottom:3.6pt;mso-wrap-style:square;position:absolute" filled="f" strokecolor="#000000" strokeweight="0.75pt" stroked="f">
              <v:textbox style="" inset="7.2pt,3.6pt,7.2pt,3.6pt">
                <w:txbxContent>
                  <w:p>
                    <w:pPr>
                      <w:pBdr/>
                      <w: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Revision: 2024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-1303274</wp:posOffset>
          </wp:positionH>
          <wp:positionV relativeFrom="paragraph">
            <wp:posOffset>158877</wp:posOffset>
          </wp:positionV>
          <wp:extent cx="8154660" cy="479173"/>
          <wp:effectExtent xmlns:wp="http://schemas.openxmlformats.org/drawingml/2006/wordprocessingDrawing" l="0" t="0" r="0" b="0"/>
          <wp:wrapNone/>
          <wp:docPr id="2056279483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660" cy="479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6214295">
    <w:pPr>
      <w:pStyle w:val="Header"/>
      <w:tabs>
        <w:tab w:val="clear" w:pos="4680"/>
        <w:tab w:val="center" w:pos="2070"/>
      </w:tabs>
      <w:spacing/>
      <w:ind w:left="2070"/>
      <w:jc w:val="both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-47625</wp:posOffset>
          </wp:positionV>
          <wp:extent cx="1371600" cy="621470"/>
          <wp:effectExtent xmlns:wp="http://schemas.openxmlformats.org/drawingml/2006/wordprocessingDrawing" l="0" t="0" r="0" b="7620"/>
          <wp:wrapNone/>
          <wp:docPr id="2056279484" descr="A green circle with white text&#10;&#10;Description automatically generated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Bioactive, Recombinant Human Nectin-3 / CD113 Protein Dimer, His-Avi Tag</w:t>
    </w:r>
  </w:p>
  <w:p w14:paraId="05042DE4">
    <w:pPr>
      <w:pStyle w:val="Header"/>
      <w:tabs>
        <w:tab w:val="clear" w:pos="4680"/>
        <w:tab w:val="center" w:pos="2070"/>
      </w:tabs>
      <w:spacing/>
      <w:ind w:left="2070"/>
      <w:jc w:val="both"/>
      <w:rPr/>
    </w:pPr>
    <w:r>
      <w:rPr/>
      <w:t xml:space="preserve">Product Code:</w:t>
    </w:r>
    <w:r>
      <w:rPr/>
      <w:t xml:space="preserve"> CSP-25196-03</w:t>
    </w:r>
  </w:p>
  <w:p w14:paraId="0C613C8D">
    <w:pPr>
      <w:pStyle w:val="Header"/>
      <w:tabs>
        <w:tab w:val="clear" w:pos="4680"/>
        <w:tab w:val="center" w:pos="2070"/>
      </w:tabs>
      <w:spacing/>
      <w:ind w:left="2070"/>
      <w:jc w:val="both"/>
      <w:rPr/>
    </w:pPr>
    <w:r>
      <w:rPr/>
      <w:t xml:space="preserve">For Research Use Only (RUO)</w:t>
    </w:r>
  </w:p>
  <w:p w14:paraId="095CB3F5">
    <w:pPr>
      <w:pStyle w:val="Header"/>
      <w:tabs>
        <w:tab w:val="clear" w:pos="4680"/>
        <w:tab w:val="center" w:pos="2070"/>
      </w:tabs>
      <w:spacing/>
      <w:ind w:left="2070"/>
      <w:jc w:val="both"/>
      <w:rPr/>
    </w:pPr>
  </w:p>
  <w:p w14:paraId="44708376">
    <w:pPr>
      <w:pStyle w:val="Header"/>
      <w:tabs>
        <w:tab w:val="clear" w:pos="4680"/>
        <w:tab w:val="center" w:pos="2070"/>
      </w:tabs>
      <w:spacing/>
      <w:ind w:left="2070"/>
      <w:jc w:val="both"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2EFF2E2">
    <w:pPr>
      <w:pStyle w:val="Header"/>
      <w:tabs>
        <w:tab w:val="clear" w:pos="4680"/>
        <w:tab w:val="center" w:pos="2070"/>
      </w:tabs>
      <w:spacing/>
      <w:ind w:left="2070"/>
      <w:jc w:val="both"/>
      <w:rPr/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-47625</wp:posOffset>
          </wp:positionV>
          <wp:extent cx="1371600" cy="621470"/>
          <wp:effectExtent xmlns:wp="http://schemas.openxmlformats.org/drawingml/2006/wordprocessingDrawing" l="0" t="0" r="0" b="7620"/>
          <wp:wrapNone/>
          <wp:docPr id="2056279485" descr="A green circle with white text&#10;&#10;Description automatically generated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Bioactive, human TIGIT dimer, Fc Tag</w:t>
    </w:r>
  </w:p>
  <w:p w14:paraId="1A458ED6">
    <w:pPr>
      <w:pStyle w:val="Header"/>
      <w:tabs>
        <w:tab w:val="clear" w:pos="4680"/>
        <w:tab w:val="center" w:pos="2070"/>
      </w:tabs>
      <w:spacing/>
      <w:ind w:left="2070"/>
      <w:jc w:val="both"/>
      <w:rPr/>
    </w:pPr>
    <w:r>
      <w:rPr/>
      <w:t xml:space="preserve">Product Code: </w:t>
    </w:r>
    <w:r>
      <w:rPr>
        <w:noProof/>
      </w:rPr>
      <w:t xml:space="preserve">CSP-24028</w:t>
    </w:r>
  </w:p>
  <w:p w14:paraId="79856D33">
    <w:pPr>
      <w:pStyle w:val="Header"/>
      <w:tabs>
        <w:tab w:val="clear" w:pos="4680"/>
        <w:tab w:val="center" w:pos="2070"/>
      </w:tabs>
      <w:spacing/>
      <w:ind w:left="2070"/>
      <w:jc w:val="both"/>
      <w:rPr/>
    </w:pPr>
    <w:r>
      <w:rPr/>
      <w:t xml:space="preserve">For Research Use Only</w:t>
    </w:r>
  </w:p>
  <w:p w14:paraId="0EBB25FB">
    <w:pPr>
      <w:pStyle w:val="Header"/>
      <w:tabs>
        <w:tab w:val="clear" w:pos="4680"/>
        <w:tab w:val="center" w:pos="2070"/>
      </w:tabs>
      <w:spacing/>
      <w:ind w:left="2070"/>
      <w:jc w:val="both"/>
      <w:rPr/>
    </w:pPr>
  </w:p>
  <w:p w14:paraId="3CACC9C1">
    <w:pPr>
      <w:pStyle w:val="Header"/>
      <w:tabs>
        <w:tab w:val="clear" w:pos="4680"/>
        <w:tab w:val="center" w:pos="2070"/>
      </w:tabs>
      <w:spacing/>
      <w:ind w:left="2070"/>
      <w:jc w:val="both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mailMerge>
    <w:mainDocumentType w:val="formLetters"/>
    <w:linkToQuery/>
    <w:dataType w:val="textFile"/>
    <w:query w:val="SELECT * FROM C:\Users\timsm\Downloads\Products (15).csv"/>
    <w:activeRecord w:val="3"/>
  </w:mailMerge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IntenseEmphasis" w:customStyle="1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 w:customStyle="1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/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/>
  </w:style>
  <w:style w:type="character" w:styleId="FooterChar" w:customStyle="1">
    <w:name w:val="Footer Char"/>
    <w:basedOn w:val="DefaultParagraphFont"/>
    <w:link w:val="Footer"/>
    <w:uiPriority w:val="99"/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 w:customStyle="1">
    <w:name w:val="No Spacing"/>
    <w:uiPriority w:val="1"/>
    <w:qFormat/>
    <w:pPr>
      <w:spacing w:after="0" w:line="240" w:lineRule="auto"/>
    </w:pPr>
    <w:rPr/>
  </w:style>
</w:styles>
</file>

<file path=word/_rels/document.xml.rels>&#65279;<?xml version="1.0" encoding="utf-8" standalone="yes"?><Relationships xmlns="http://schemas.openxmlformats.org/package/2006/relationships"><Relationship Id="rId12" Type="http://schemas.openxmlformats.org/officeDocument/2006/relationships/styles" Target="styles.xml" /><Relationship Id="rId13" Type="http://schemas.openxmlformats.org/officeDocument/2006/relationships/settings" Target="settings.xml" /><Relationship Id="rId14" Type="http://schemas.openxmlformats.org/officeDocument/2006/relationships/theme" Target="theme/theme1.xml" /><Relationship Id="rId5" Type="http://schemas.openxmlformats.org/officeDocument/2006/relationships/footer" Target="footer5.xml" /><Relationship Id="rId7" Type="http://schemas.openxmlformats.org/officeDocument/2006/relationships/footer" Target="footer7.xml" /><Relationship Id="rId4" Type="http://schemas.openxmlformats.org/officeDocument/2006/relationships/header" Target="header4.xml" /><Relationship Id="rId6" Type="http://schemas.openxmlformats.org/officeDocument/2006/relationships/header" Target="header6.xml" /><Relationship Id="rId15" Type="http://schemas.openxmlformats.org/officeDocument/2006/relationships/fontTable" Target="fontTable.xml" /><Relationship Id="rId1" Type="http://schemas.openxmlformats.org/officeDocument/2006/relationships/image" Target="media/image4.jpeg" /><Relationship Id="rId2" Type="http://schemas.openxmlformats.org/officeDocument/2006/relationships/image" Target="media/image3.jpeg" /><Relationship Id="rId3" Type="http://schemas.openxmlformats.org/officeDocument/2006/relationships/image" Target="media/image5.png" /><Relationship Id="rId16" Type="http://schemas.openxmlformats.org/officeDocument/2006/relationships/customXml" Target="../customXml/item1.xml" /></Relationships>
</file>

<file path=word/_rels/footer5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/Relationships>
</file>

<file path=word/_rels/foot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2.png" /></Relationships>
</file>

<file path=word/_rels/header4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A6BF0-6AEC-024A-BE37-D4D2595080D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3</Pages>
  <Words>77</Words>
  <Characters>439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Mitchell</dc:creator>
  <cp:keywords/>
  <dc:description/>
  <cp:lastModifiedBy>Tim Smith</cp:lastModifiedBy>
  <cp:lastPrinted>2025-02-20T19:03:00Z</cp:lastPrinted>
  <cp:revision>3</cp:revision>
  <dcterms:created xsi:type="dcterms:W3CDTF">2025-03-26T19:18:00Z</dcterms:created>
  <dcterms:modified xsi:type="dcterms:W3CDTF">2025-03-26T19:19:00Z</dcterms:modified>
</cp:coreProperties>
</file>